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E0347" w14:textId="478952B1" w:rsidR="00C37EA4" w:rsidRPr="00C37EA4" w:rsidRDefault="00C37EA4" w:rsidP="00C37EA4">
      <w:pPr>
        <w:shd w:val="clear" w:color="auto" w:fill="FFFFFF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</w:pPr>
      <w:proofErr w:type="spellStart"/>
      <w:r w:rsidRPr="00C37EA4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>Aurubis</w:t>
      </w:r>
      <w:proofErr w:type="spellEnd"/>
      <w:r w:rsidRPr="00C37EA4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FR"/>
        </w:rPr>
        <w:t xml:space="preserve"> revoit à la hausse son objectif annuel</w:t>
      </w:r>
    </w:p>
    <w:p w14:paraId="0ECE023C" w14:textId="77777777" w:rsidR="00C37EA4" w:rsidRDefault="00C37EA4" w:rsidP="00C37EA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3E001F"/>
          <w:sz w:val="30"/>
          <w:szCs w:val="30"/>
          <w:lang w:eastAsia="fr-FR"/>
        </w:rPr>
      </w:pPr>
    </w:p>
    <w:p w14:paraId="056A1EC5" w14:textId="71FCEAF1" w:rsidR="00C37EA4" w:rsidRPr="00C37EA4" w:rsidRDefault="00C37EA4" w:rsidP="00C37EA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proofErr w:type="spellStart"/>
      <w:r w:rsidRPr="00C37EA4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Aurubis</w:t>
      </w:r>
      <w:proofErr w:type="spellEnd"/>
      <w:r w:rsidRPr="00C37EA4">
        <w:rPr>
          <w:rFonts w:ascii="Lato" w:eastAsia="Times New Roman" w:hAnsi="Lato" w:cs="Times New Roman"/>
          <w:b/>
          <w:bCs/>
          <w:color w:val="000000"/>
          <w:sz w:val="23"/>
          <w:szCs w:val="23"/>
          <w:lang w:eastAsia="fr-FR"/>
        </w:rPr>
        <w:t>, producteur et recycleur de métaux non-ferreux et principalement de cuivre, a publié, au titre du premier semestre clos le 31 mars, un chiffre d’affaires en hausse à 9,262 milliards d’euros, contre 7,519 milliards au premier semestre de l’exercice précédent.</w:t>
      </w:r>
    </w:p>
    <w:p w14:paraId="532B2017" w14:textId="77777777" w:rsidR="00C37EA4" w:rsidRPr="00C37EA4" w:rsidRDefault="00C37EA4" w:rsidP="00C37EA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C37EA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 </w:t>
      </w:r>
    </w:p>
    <w:p w14:paraId="387AF8DC" w14:textId="77777777" w:rsidR="00C37EA4" w:rsidRPr="00C37EA4" w:rsidRDefault="00C37EA4" w:rsidP="00C37EA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C37EA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Les bons résultats sont principalement attribués à la robustesse des cours du métal rouge et à la forte demande en produits en cuivre et en acide sulfurique, ainsi qu’à une performance stable du segment Fonderie en termes de production. Le bénéfice avant impôts (EBIT) a progressé de 86% sur un an à 345 M€. Pour 2022, le groupe table sur un EBIT situé entre 500 et 600 M€, contre une précédente projection de 400 à 500 M€. Cette dernière projection vaut à condition qu’</w:t>
      </w:r>
      <w:proofErr w:type="spellStart"/>
      <w:r w:rsidRPr="00C37EA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Aurubis</w:t>
      </w:r>
      <w:proofErr w:type="spellEnd"/>
      <w:r w:rsidRPr="00C37EA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ait accès sans restriction aux matières premières et à l’énergie. Le groupe évoque le sort de la fonderie de </w:t>
      </w:r>
      <w:proofErr w:type="spellStart"/>
      <w:r w:rsidRPr="00C37EA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Pirdrop</w:t>
      </w:r>
      <w:proofErr w:type="spellEnd"/>
      <w:r w:rsidRPr="00C37EA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 en Bulgarie qui, pour l’heure, n’est pas affectée par l’embargo sur le gaz russe. «</w:t>
      </w:r>
      <w:r w:rsidRPr="00C37EA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 La tendance positive s’est poursuivie au 2</w:t>
      </w:r>
      <w:r w:rsidRPr="00C37EA4">
        <w:rPr>
          <w:rFonts w:ascii="Lato" w:eastAsia="Times New Roman" w:hAnsi="Lato" w:cs="Times New Roman"/>
          <w:i/>
          <w:iCs/>
          <w:color w:val="000000"/>
          <w:sz w:val="23"/>
          <w:szCs w:val="23"/>
          <w:vertAlign w:val="superscript"/>
          <w:lang w:eastAsia="fr-FR"/>
        </w:rPr>
        <w:t>ème</w:t>
      </w:r>
      <w:r w:rsidRPr="00C37EA4">
        <w:rPr>
          <w:rFonts w:ascii="Lato" w:eastAsia="Times New Roman" w:hAnsi="Lato" w:cs="Times New Roman"/>
          <w:i/>
          <w:iCs/>
          <w:color w:val="000000"/>
          <w:sz w:val="23"/>
          <w:szCs w:val="23"/>
          <w:lang w:eastAsia="fr-FR"/>
        </w:rPr>
        <w:t> trimestre de l’année fiscale en cours</w:t>
      </w:r>
      <w:r w:rsidRPr="00C37EA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 xml:space="preserve"> », a commenté Roland </w:t>
      </w:r>
      <w:proofErr w:type="spellStart"/>
      <w:r w:rsidRPr="00C37EA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Harings</w:t>
      </w:r>
      <w:proofErr w:type="spellEnd"/>
      <w:r w:rsidRPr="00C37EA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, pour expliquer les résultats du groupe.</w:t>
      </w:r>
    </w:p>
    <w:p w14:paraId="60A9D5FA" w14:textId="77777777" w:rsidR="00C37EA4" w:rsidRPr="00C37EA4" w:rsidRDefault="00C37EA4" w:rsidP="00C37EA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C37EA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L’activité Recyclage a généré un résultat avant impôts en progression de 51% à 148 M€.</w:t>
      </w:r>
    </w:p>
    <w:p w14:paraId="6E82D1A7" w14:textId="77777777" w:rsidR="00C37EA4" w:rsidRPr="00C37EA4" w:rsidRDefault="00C37EA4" w:rsidP="00C37EA4">
      <w:pPr>
        <w:shd w:val="clear" w:color="auto" w:fill="FFFFFF"/>
        <w:spacing w:before="75" w:after="75"/>
        <w:jc w:val="both"/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</w:pPr>
      <w:r w:rsidRPr="00C37EA4">
        <w:rPr>
          <w:rFonts w:ascii="Lato" w:eastAsia="Times New Roman" w:hAnsi="Lato" w:cs="Times New Roman"/>
          <w:color w:val="000000"/>
          <w:sz w:val="23"/>
          <w:szCs w:val="23"/>
          <w:lang w:eastAsia="fr-FR"/>
        </w:rPr>
        <w:t>Le bénéfice net s'est élevé à 510,09 M€, contre 319,1 M€ un an plus tôt.</w:t>
      </w:r>
    </w:p>
    <w:p w14:paraId="2CCF856A" w14:textId="77777777" w:rsidR="000E1792" w:rsidRDefault="000E1792"/>
    <w:sectPr w:rsidR="000E1792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A4"/>
    <w:rsid w:val="000E1792"/>
    <w:rsid w:val="000F156F"/>
    <w:rsid w:val="00C3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9F0E87"/>
  <w15:chartTrackingRefBased/>
  <w15:docId w15:val="{2BC18077-5D3C-DF45-8C90-079725CE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C37EA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C37EA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37EA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C37EA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infoarticle">
    <w:name w:val="info_article"/>
    <w:basedOn w:val="Normal"/>
    <w:rsid w:val="00C37E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37EA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37EA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C37EA4"/>
    <w:rPr>
      <w:b/>
      <w:bCs/>
    </w:rPr>
  </w:style>
  <w:style w:type="character" w:styleId="Accentuation">
    <w:name w:val="Emphasis"/>
    <w:basedOn w:val="Policepardfaut"/>
    <w:uiPriority w:val="20"/>
    <w:qFormat/>
    <w:rsid w:val="00C37E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2022-05-20T15:24:00Z</dcterms:created>
  <dcterms:modified xsi:type="dcterms:W3CDTF">2022-05-20T15:25:00Z</dcterms:modified>
</cp:coreProperties>
</file>